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w:t>
      </w:r>
      <w:r w:rsidR="0049489A">
        <w:rPr>
          <w:rFonts w:ascii="Arial" w:eastAsia="Times New Roman" w:hAnsi="Arial" w:cs="Arial"/>
          <w:b/>
          <w:sz w:val="22"/>
          <w:szCs w:val="22"/>
        </w:rPr>
        <w:t>P TSG-SA3 Meeting #117</w:t>
      </w:r>
      <w:r w:rsidR="0049489A">
        <w:rPr>
          <w:rFonts w:ascii="Arial" w:eastAsia="Times New Roman" w:hAnsi="Arial" w:cs="Arial"/>
          <w:b/>
          <w:sz w:val="22"/>
          <w:szCs w:val="22"/>
        </w:rPr>
        <w:tab/>
        <w:t>S3-242760</w:t>
      </w:r>
      <w:bookmarkStart w:id="0" w:name="_GoBack"/>
      <w:bookmarkEnd w:id="0"/>
    </w:p>
    <w:p w:rsidR="00EE33A2" w:rsidRPr="00872560" w:rsidRDefault="00067A9C" w:rsidP="00067A9C">
      <w:pPr>
        <w:pStyle w:val="Kopfzeile"/>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E0567">
        <w:rPr>
          <w:rFonts w:ascii="Arial" w:hAnsi="Arial"/>
          <w:b/>
          <w:lang w:val="en-US"/>
        </w:rPr>
        <w:t>Keysight, BSI</w:t>
      </w:r>
      <w:r w:rsidR="004153C6">
        <w:rPr>
          <w:rFonts w:ascii="Arial" w:hAnsi="Arial"/>
          <w:b/>
          <w:lang w:val="en-US"/>
        </w:rPr>
        <w:t>, Radix Security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0567">
        <w:rPr>
          <w:rFonts w:ascii="Arial" w:hAnsi="Arial" w:cs="Arial"/>
          <w:b/>
        </w:rPr>
        <w:t>UE Security Testing</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489A">
        <w:rPr>
          <w:rFonts w:ascii="Arial" w:hAnsi="Arial"/>
          <w:b/>
        </w:rPr>
        <w:t>4.1.1</w:t>
      </w:r>
    </w:p>
    <w:p w:rsidR="00C022E3" w:rsidRDefault="00C022E3">
      <w:pPr>
        <w:pStyle w:val="berschrift1"/>
      </w:pPr>
      <w:r>
        <w:t>1</w:t>
      </w:r>
      <w:r>
        <w:tab/>
        <w:t>Decision/action requested</w:t>
      </w:r>
    </w:p>
    <w:p w:rsidR="00C022E3" w:rsidRDefault="004C396F">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Discussion about s</w:t>
      </w:r>
      <w:r w:rsidRPr="004C396F">
        <w:rPr>
          <w:b/>
          <w:i/>
        </w:rPr>
        <w:t>ecurity Test cases for User Equipment</w:t>
      </w:r>
    </w:p>
    <w:p w:rsidR="00C022E3" w:rsidRDefault="00C022E3">
      <w:pPr>
        <w:pStyle w:val="berschrift1"/>
      </w:pPr>
      <w:r>
        <w:t>2</w:t>
      </w:r>
      <w:r>
        <w:tab/>
        <w:t>References</w:t>
      </w:r>
    </w:p>
    <w:p w:rsidR="00C022E3" w:rsidRPr="00EE0567" w:rsidRDefault="00C022E3">
      <w:pPr>
        <w:pStyle w:val="Reference"/>
      </w:pPr>
      <w:r w:rsidRPr="00EE0567">
        <w:t>[1]</w:t>
      </w:r>
      <w:r w:rsidRPr="00EE0567">
        <w:tab/>
        <w:t>3GPP TS 3</w:t>
      </w:r>
      <w:r w:rsidR="00EE0567" w:rsidRPr="00EE0567">
        <w:t xml:space="preserve">3.117 </w:t>
      </w:r>
      <w:r w:rsidR="00EE0567">
        <w:t>Catalogue of general security assurance requirements</w:t>
      </w:r>
    </w:p>
    <w:p w:rsidR="00C022E3" w:rsidRDefault="00C022E3">
      <w:pPr>
        <w:pStyle w:val="Reference"/>
      </w:pPr>
      <w:r w:rsidRPr="003B4475">
        <w:t>[2]</w:t>
      </w:r>
      <w:r w:rsidRPr="003B4475">
        <w:tab/>
      </w:r>
      <w:r w:rsidR="003B4475" w:rsidRPr="003B4475">
        <w:t xml:space="preserve">Qualcomm - May 2023 Security Bulletin </w:t>
      </w:r>
      <w:hyperlink r:id="rId7" w:history="1">
        <w:r w:rsidR="00824584" w:rsidRPr="00311C6B">
          <w:rPr>
            <w:rStyle w:val="Hyperlink"/>
          </w:rPr>
          <w:t>https://docs.qualcomm.com/product/publicresources/securitybulletin/may-2023-bulletin.html</w:t>
        </w:r>
      </w:hyperlink>
    </w:p>
    <w:p w:rsidR="008F70D0" w:rsidRDefault="008F70D0">
      <w:pPr>
        <w:pStyle w:val="Reference"/>
      </w:pPr>
      <w:r>
        <w:t>[3]</w:t>
      </w:r>
      <w:r>
        <w:tab/>
      </w:r>
      <w:r w:rsidRPr="008F70D0">
        <w:t>Paris IMSI-Catcher Mistaken for Bomb Was Actually Used for Health Insurance SMS Phishing Scam</w:t>
      </w:r>
      <w:r>
        <w:t xml:space="preserve">, </w:t>
      </w:r>
      <w:r w:rsidRPr="008F70D0">
        <w:t>Eric Priezkalns</w:t>
      </w:r>
      <w:r>
        <w:t xml:space="preserve">, </w:t>
      </w:r>
      <w:r w:rsidRPr="008F70D0">
        <w:t>https://commsrisk.com/paris-imsi-catcher-mistaken-for-bomb-was-actually-used-for-health-insurance-sms-phishing-scam/</w:t>
      </w:r>
    </w:p>
    <w:p w:rsidR="00824584" w:rsidRPr="003B4475" w:rsidRDefault="00824584" w:rsidP="00824584">
      <w:pPr>
        <w:pStyle w:val="Reference"/>
      </w:pPr>
      <w:r w:rsidRPr="00824584">
        <w:t>[</w:t>
      </w:r>
      <w:r w:rsidR="008F70D0">
        <w:t>4</w:t>
      </w:r>
      <w:r w:rsidRPr="00824584">
        <w:t>]</w:t>
      </w:r>
      <w:r>
        <w:tab/>
        <w:t xml:space="preserve">Never Let Me Down Again: Bidding-Down Attacks and Mitigations in 5G and 4G, </w:t>
      </w:r>
      <w:r w:rsidRPr="00824584">
        <w:t>Bedran Karakoc</w:t>
      </w:r>
      <w:r>
        <w:t xml:space="preserve">, </w:t>
      </w:r>
      <w:r w:rsidRPr="00824584">
        <w:t>Nils Fürste</w:t>
      </w:r>
      <w:r>
        <w:t xml:space="preserve">, </w:t>
      </w:r>
      <w:r w:rsidRPr="00824584">
        <w:t>David Rupprecht</w:t>
      </w:r>
      <w:r>
        <w:t xml:space="preserve">, </w:t>
      </w:r>
      <w:r w:rsidRPr="00824584">
        <w:t>Katharina Kohls</w:t>
      </w:r>
      <w:r w:rsidR="008F70D0">
        <w:t xml:space="preserve">: </w:t>
      </w:r>
      <w:r w:rsidR="008F70D0" w:rsidRPr="008F70D0">
        <w:t>https://radix-security.com/files/2021_downgrade.pdf</w:t>
      </w:r>
    </w:p>
    <w:p w:rsidR="00C022E3" w:rsidRDefault="00C022E3">
      <w:pPr>
        <w:pStyle w:val="berschrift1"/>
      </w:pPr>
      <w:r>
        <w:t>3</w:t>
      </w:r>
      <w:r>
        <w:tab/>
        <w:t>Rationale</w:t>
      </w:r>
    </w:p>
    <w:p w:rsidR="00DA16FA" w:rsidRPr="00BA4546" w:rsidRDefault="008F70D0">
      <w:pPr>
        <w:rPr>
          <w:iCs/>
          <w:lang w:val="en-US"/>
        </w:rPr>
      </w:pPr>
      <w:r>
        <w:t>A secure link between the UE and the RAN is crucial for the overall security of 3GPP systems. However, vulnerabilities from previous generations are exploited in the real world, such as the SMS-blaster attack [3]. To prevent these attacks in latest generations (4G and 5G), downgrade prevention mechanisms are specified. Unfortunately, recent research shows that only a few UEs adhere to these specifications when it comes to downgrade prevention [4]. An effective way to address these implementation issues is to test the UEs systematically.</w:t>
      </w:r>
    </w:p>
    <w:p w:rsidR="001B6FC9" w:rsidRDefault="00BA4546" w:rsidP="001B6FC9">
      <w:pPr>
        <w:tabs>
          <w:tab w:val="left" w:pos="1770"/>
        </w:tabs>
        <w:rPr>
          <w:iCs/>
          <w:noProof/>
        </w:rPr>
      </w:pPr>
      <w:r w:rsidRPr="00BA4546">
        <w:rPr>
          <w:iCs/>
          <w:noProof/>
        </w:rPr>
        <w:t xml:space="preserve">The current testing strategy for User Equipment (UEs) in the 3rd Generation Partnership Project (3GPP) heavily relies on the Radio Access Network 5 (RAN5), specifically the Technical Specifications (TSs) of the 34-series. </w:t>
      </w:r>
      <w:r w:rsidR="001B6FC9">
        <w:rPr>
          <w:iCs/>
          <w:noProof/>
        </w:rPr>
        <w:t>This can be found in clause 4.2.2.1 in [1]</w:t>
      </w:r>
    </w:p>
    <w:p w:rsidR="001B6FC9" w:rsidRDefault="0049489A" w:rsidP="001B6FC9">
      <w:pPr>
        <w:tabs>
          <w:tab w:val="left" w:pos="1770"/>
        </w:tabs>
        <w:rPr>
          <w:iCs/>
          <w:noProof/>
        </w:rPr>
      </w:pPr>
      <w:r w:rsidRPr="00EE0567">
        <w:rPr>
          <w:i/>
          <w:noProof/>
          <w:lang w:val="de-DE" w:eastAsia="de-DE"/>
        </w:rPr>
        <w:drawing>
          <wp:inline distT="0" distB="0" distL="0" distR="0">
            <wp:extent cx="5302250" cy="2326640"/>
            <wp:effectExtent l="19050" t="19050" r="31750" b="355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2250" cy="2326640"/>
                    </a:xfrm>
                    <a:prstGeom prst="rect">
                      <a:avLst/>
                    </a:prstGeom>
                    <a:noFill/>
                    <a:ln w="6350" cmpd="sng">
                      <a:solidFill>
                        <a:srgbClr val="000000"/>
                      </a:solidFill>
                      <a:miter lim="800000"/>
                      <a:headEnd/>
                      <a:tailEnd/>
                    </a:ln>
                    <a:effectLst>
                      <a:outerShdw dist="35921" dir="2700000" algn="ctr" rotWithShape="0">
                        <a:srgbClr val="808080"/>
                      </a:outerShdw>
                    </a:effectLst>
                  </pic:spPr>
                </pic:pic>
              </a:graphicData>
            </a:graphic>
          </wp:inline>
        </w:drawing>
      </w:r>
    </w:p>
    <w:p w:rsidR="00586A21" w:rsidRPr="00586A21" w:rsidRDefault="00586A21" w:rsidP="00586A21">
      <w:pPr>
        <w:tabs>
          <w:tab w:val="left" w:pos="1770"/>
        </w:tabs>
        <w:rPr>
          <w:iCs/>
          <w:noProof/>
          <w:lang w:val="en-US"/>
        </w:rPr>
      </w:pPr>
      <w:r>
        <w:rPr>
          <w:iCs/>
          <w:noProof/>
          <w:lang w:val="en-US"/>
        </w:rPr>
        <w:t>T</w:t>
      </w:r>
      <w:r w:rsidRPr="00586A21">
        <w:rPr>
          <w:iCs/>
          <w:noProof/>
          <w:lang w:val="en-US"/>
        </w:rPr>
        <w:t>he conformance test cases outlined in the Technical Specifications (TSs) of the 34-series are a set of predefined scenarios that our User Equipment (UEs) are tested against. These test cases are designed to ensure that the UEs conform to the standards and specifications set by the 3rd Generation Partnership Project (3GPP).</w:t>
      </w:r>
    </w:p>
    <w:p w:rsidR="00586A21" w:rsidRDefault="00586A21" w:rsidP="00586A21">
      <w:pPr>
        <w:tabs>
          <w:tab w:val="left" w:pos="1770"/>
        </w:tabs>
        <w:rPr>
          <w:iCs/>
          <w:noProof/>
          <w:lang w:val="en-US"/>
        </w:rPr>
      </w:pPr>
      <w:r w:rsidRPr="00586A21">
        <w:rPr>
          <w:iCs/>
          <w:noProof/>
          <w:lang w:val="en-US"/>
        </w:rPr>
        <w:t xml:space="preserve">However, these test cases primarily focus on the expected behavior of the UEs under normal operating conditions. They do not fully account for the potential issues and vulnerabilities that might arise in the current modems under specific or adverse conditions. Examples of such issues could be unexpected </w:t>
      </w:r>
      <w:r>
        <w:rPr>
          <w:iCs/>
          <w:noProof/>
          <w:lang w:val="en-US"/>
        </w:rPr>
        <w:t>messages input</w:t>
      </w:r>
      <w:r w:rsidRPr="00586A21">
        <w:rPr>
          <w:iCs/>
          <w:noProof/>
          <w:lang w:val="en-US"/>
        </w:rPr>
        <w:t xml:space="preserve">, susceptibility to certain types of </w:t>
      </w:r>
      <w:r w:rsidRPr="00586A21">
        <w:rPr>
          <w:iCs/>
          <w:noProof/>
          <w:lang w:val="en-US"/>
        </w:rPr>
        <w:lastRenderedPageBreak/>
        <w:t xml:space="preserve">security attacks, or </w:t>
      </w:r>
      <w:r>
        <w:rPr>
          <w:iCs/>
          <w:noProof/>
          <w:lang w:val="en-US"/>
        </w:rPr>
        <w:t>modem innestability</w:t>
      </w:r>
      <w:r w:rsidRPr="00586A21">
        <w:rPr>
          <w:iCs/>
          <w:noProof/>
          <w:lang w:val="en-US"/>
        </w:rPr>
        <w:t>.</w:t>
      </w:r>
      <w:r w:rsidR="004D7A7D">
        <w:rPr>
          <w:iCs/>
          <w:noProof/>
          <w:lang w:val="en-US"/>
        </w:rPr>
        <w:t xml:space="preserve"> </w:t>
      </w:r>
      <w:r w:rsidRPr="00586A21">
        <w:rPr>
          <w:iCs/>
          <w:noProof/>
          <w:lang w:val="en-US"/>
        </w:rPr>
        <w:t>This means that despite passing all the conformance tests, our UEs could still have potential vulnerabilities that remain undetected.</w:t>
      </w:r>
    </w:p>
    <w:p w:rsidR="0045348A" w:rsidRDefault="004D7A7D" w:rsidP="004D7A7D">
      <w:pPr>
        <w:tabs>
          <w:tab w:val="left" w:pos="1770"/>
        </w:tabs>
        <w:rPr>
          <w:iCs/>
          <w:noProof/>
        </w:rPr>
      </w:pPr>
      <w:r>
        <w:rPr>
          <w:iCs/>
          <w:noProof/>
          <w:lang w:val="en-US"/>
        </w:rPr>
        <w:t xml:space="preserve">This also became clear, when looking at the latest research. </w:t>
      </w:r>
      <w:r>
        <w:rPr>
          <w:iCs/>
          <w:noProof/>
        </w:rPr>
        <w:t>In which we</w:t>
      </w:r>
      <w:r w:rsidRPr="005A2112">
        <w:rPr>
          <w:iCs/>
          <w:noProof/>
        </w:rPr>
        <w:t xml:space="preserve"> have observed several implementation vulnerabilities where the UE does not follow the specification and allows certain types of attacks. These were mainly downgrades (DoS) to previous generations. An example is the unauthenticated redirection to 2G with policy bit, which should prevent an authenticated redirection from 4G to 2G when set via the 4G AKA.</w:t>
      </w:r>
      <w:r w:rsidR="00753092">
        <w:rPr>
          <w:iCs/>
          <w:noProof/>
        </w:rPr>
        <w:t xml:space="preserve"> </w:t>
      </w:r>
    </w:p>
    <w:p w:rsidR="004D7A7D" w:rsidRDefault="008C00A9" w:rsidP="004D7A7D">
      <w:pPr>
        <w:tabs>
          <w:tab w:val="left" w:pos="1770"/>
        </w:tabs>
        <w:rPr>
          <w:iCs/>
          <w:noProof/>
        </w:rPr>
      </w:pPr>
      <w:r w:rsidRPr="008C00A9">
        <w:rPr>
          <w:iCs/>
          <w:noProof/>
        </w:rPr>
        <w:t>Malformed downlink messages from gNodeB to UE, affecting LTE, NB-IoT, and 5G (NSA/SA) UEs, are another type of attack that originate from the RRC and NAS layers, causing a Denial of Service on the UE, with some attacks occurring before the UE’s authorization and others after, and while several are still under the disclosure process, some, like CVE-2022-40504</w:t>
      </w:r>
      <w:r>
        <w:rPr>
          <w:iCs/>
          <w:noProof/>
        </w:rPr>
        <w:t xml:space="preserve"> [2]</w:t>
      </w:r>
      <w:r w:rsidRPr="008C00A9">
        <w:rPr>
          <w:iCs/>
          <w:noProof/>
        </w:rPr>
        <w:t>, have already been disclosed.</w:t>
      </w:r>
    </w:p>
    <w:p w:rsidR="001B6FC9" w:rsidRPr="00586A21" w:rsidRDefault="00DC6365" w:rsidP="00BA4546">
      <w:pPr>
        <w:tabs>
          <w:tab w:val="left" w:pos="1770"/>
        </w:tabs>
        <w:rPr>
          <w:iCs/>
          <w:noProof/>
          <w:lang w:val="en-US"/>
        </w:rPr>
      </w:pPr>
      <w:r w:rsidRPr="00DC6365">
        <w:rPr>
          <w:iCs/>
          <w:noProof/>
        </w:rPr>
        <w:t>A fundamental problem is that while these security requirements are defined, there are no specific test cases that can be applied to verify correct implementation. The gap between conformance testing and security testing strategy poses a significant risk to the security and reliability of our systems. Undetected vulnerabilities and implementation issues could be exploited, resulting in potential security breaches. The purpose of this discussion paper is to discuss options for closing the gap to ensure an overall secure 3GPP system.</w:t>
      </w:r>
    </w:p>
    <w:p w:rsidR="00C022E3" w:rsidRDefault="00C022E3">
      <w:pPr>
        <w:pStyle w:val="berschrift1"/>
      </w:pPr>
      <w:r>
        <w:t>4</w:t>
      </w:r>
      <w:r>
        <w:tab/>
        <w:t>Detailed proposal</w:t>
      </w:r>
    </w:p>
    <w:p w:rsidR="001B6FC9" w:rsidRDefault="001B6FC9" w:rsidP="001B6FC9">
      <w:r>
        <w:t>To address these concerns, we propose that the SA3 should include security testing for UEs, similar to the current network Security Conformance Assurance Specifications (SCAS). This would allow us to identify and address any security vulnerabilities in the UEs, thereby enhancing the overall security of our systems.</w:t>
      </w:r>
    </w:p>
    <w:p w:rsidR="00DC6365" w:rsidRDefault="00DC6365" w:rsidP="001B6FC9">
      <w:r>
        <w:t xml:space="preserve">Currently, we see two approaches for this: </w:t>
      </w:r>
    </w:p>
    <w:p w:rsidR="009C60B2" w:rsidRDefault="00897ED8" w:rsidP="009C60B2">
      <w:pPr>
        <w:numPr>
          <w:ilvl w:val="0"/>
          <w:numId w:val="24"/>
        </w:numPr>
      </w:pPr>
      <w:r>
        <w:t>T</w:t>
      </w:r>
      <w:r w:rsidR="0044053B">
        <w:t>he f</w:t>
      </w:r>
      <w:r w:rsidR="009C60B2">
        <w:t xml:space="preserve">irst option is to </w:t>
      </w:r>
      <w:r w:rsidR="00DC6365">
        <w:t xml:space="preserve">create a dedicated SCAS document containing all security relevant SCAS test cases for the UE. </w:t>
      </w:r>
    </w:p>
    <w:p w:rsidR="00DC6365" w:rsidRDefault="009C60B2" w:rsidP="00897ED8">
      <w:pPr>
        <w:ind w:firstLine="284"/>
      </w:pPr>
      <w:r>
        <w:t xml:space="preserve">- </w:t>
      </w:r>
      <w:r w:rsidR="00897ED8">
        <w:t>t</w:t>
      </w:r>
      <w:r w:rsidR="00DC6365">
        <w:t xml:space="preserve">he advantage of this is that we have </w:t>
      </w:r>
      <w:r>
        <w:t xml:space="preserve">the specifications on the </w:t>
      </w:r>
      <w:r w:rsidR="00DC6365">
        <w:t xml:space="preserve">domain </w:t>
      </w:r>
      <w:r>
        <w:t>of</w:t>
      </w:r>
      <w:r w:rsidR="00DC6365">
        <w:t xml:space="preserve"> SA3 that focuses on SCAS. </w:t>
      </w:r>
    </w:p>
    <w:p w:rsidR="00DC6365" w:rsidRDefault="00897ED8" w:rsidP="00897ED8">
      <w:pPr>
        <w:ind w:left="284"/>
      </w:pPr>
      <w:r>
        <w:t>- a challenge is that we have</w:t>
      </w:r>
      <w:r w:rsidR="00DC6365">
        <w:t xml:space="preserve"> to</w:t>
      </w:r>
      <w:r w:rsidR="0044053B">
        <w:t xml:space="preserve"> separate</w:t>
      </w:r>
      <w:r>
        <w:t xml:space="preserve"> specific UE</w:t>
      </w:r>
      <w:r w:rsidR="00DC6365">
        <w:t xml:space="preserve"> security test cases </w:t>
      </w:r>
      <w:r w:rsidR="0044053B">
        <w:t>from</w:t>
      </w:r>
      <w:r>
        <w:t xml:space="preserve"> the</w:t>
      </w:r>
      <w:r w:rsidR="00DC6365">
        <w:t xml:space="preserve"> conformance test specification</w:t>
      </w:r>
      <w:r w:rsidR="002800A8">
        <w:t>s</w:t>
      </w:r>
      <w:r w:rsidR="00DC6365">
        <w:t>.</w:t>
      </w:r>
    </w:p>
    <w:p w:rsidR="00DC6365" w:rsidRDefault="00897ED8" w:rsidP="009C60B2">
      <w:pPr>
        <w:numPr>
          <w:ilvl w:val="0"/>
          <w:numId w:val="24"/>
        </w:numPr>
      </w:pPr>
      <w:r>
        <w:t>T</w:t>
      </w:r>
      <w:r w:rsidR="002800A8">
        <w:t xml:space="preserve">he </w:t>
      </w:r>
      <w:r w:rsidR="00DC6365">
        <w:t xml:space="preserve">second option is </w:t>
      </w:r>
      <w:r w:rsidR="009C60B2">
        <w:t xml:space="preserve">to </w:t>
      </w:r>
      <w:r w:rsidR="00DC6365">
        <w:t xml:space="preserve">include </w:t>
      </w:r>
      <w:r w:rsidR="002800A8">
        <w:t xml:space="preserve">the specific </w:t>
      </w:r>
      <w:r w:rsidR="00DC6365">
        <w:t xml:space="preserve">security test cases in the </w:t>
      </w:r>
      <w:r w:rsidR="009C60B2">
        <w:t xml:space="preserve">RAN5 </w:t>
      </w:r>
      <w:r w:rsidR="00DC6365">
        <w:t xml:space="preserve">conformance testing. </w:t>
      </w:r>
    </w:p>
    <w:p w:rsidR="00DC6365" w:rsidRDefault="00897ED8" w:rsidP="00897ED8">
      <w:pPr>
        <w:ind w:left="284"/>
      </w:pPr>
      <w:r>
        <w:t>- t</w:t>
      </w:r>
      <w:r w:rsidR="00DC6365">
        <w:t>he advantage of this is that the</w:t>
      </w:r>
      <w:r w:rsidR="002800A8">
        <w:t xml:space="preserve"> test cases</w:t>
      </w:r>
      <w:r w:rsidR="00DC6365">
        <w:t xml:space="preserve"> automatically have a broader reach, since they are already included in the vendor's conformance testing. </w:t>
      </w:r>
    </w:p>
    <w:p w:rsidR="00DC6365" w:rsidRDefault="00897ED8" w:rsidP="00897ED8">
      <w:pPr>
        <w:ind w:left="284"/>
      </w:pPr>
      <w:r>
        <w:t>- t</w:t>
      </w:r>
      <w:r w:rsidR="00DC6365">
        <w:t>he disadvantage is that the</w:t>
      </w:r>
      <w:r w:rsidR="002800A8">
        <w:t xml:space="preserve"> highly needed</w:t>
      </w:r>
      <w:r w:rsidR="00DC6365">
        <w:t xml:space="preserve"> </w:t>
      </w:r>
      <w:r w:rsidR="002800A8">
        <w:t xml:space="preserve">UE </w:t>
      </w:r>
      <w:r w:rsidR="00DC6365">
        <w:t xml:space="preserve">security test cases get lost </w:t>
      </w:r>
      <w:r>
        <w:t>with</w:t>
      </w:r>
      <w:r w:rsidR="00DC6365">
        <w:t>in the conformance test</w:t>
      </w:r>
      <w:r>
        <w:t xml:space="preserve"> specs</w:t>
      </w:r>
      <w:r w:rsidR="00DC6365">
        <w:t xml:space="preserve">, which is not the domain of SA3. </w:t>
      </w:r>
    </w:p>
    <w:p w:rsidR="00897ED8" w:rsidRDefault="00897ED8" w:rsidP="00897ED8">
      <w:pPr>
        <w:ind w:left="284"/>
      </w:pPr>
    </w:p>
    <w:p w:rsidR="00897ED8" w:rsidRDefault="00102D15" w:rsidP="007E56DC">
      <w:r w:rsidRPr="00102D15">
        <w:t xml:space="preserve">Considering the benefits and drawbacks, we propose that the first option stands out as the most favorable solution </w:t>
      </w:r>
      <w:r>
        <w:t>to address UE implementation flaws</w:t>
      </w:r>
      <w:r w:rsidRPr="00102D15">
        <w:t>.</w:t>
      </w:r>
    </w:p>
    <w:p w:rsidR="00DC21C4" w:rsidRPr="001B6FC9" w:rsidRDefault="007E56DC" w:rsidP="007E56DC">
      <w:r w:rsidRPr="007E56DC">
        <w:t xml:space="preserve">We are </w:t>
      </w:r>
      <w:r>
        <w:t>open</w:t>
      </w:r>
      <w:r w:rsidRPr="007E56DC">
        <w:t xml:space="preserve"> to engage in dialogue about potential strategies that will strengthen the overall security within the 3GPP ecosystem by </w:t>
      </w:r>
      <w:r w:rsidR="00A12E03">
        <w:t>introducing specific security test cases</w:t>
      </w:r>
      <w:r w:rsidR="00897ED8">
        <w:t xml:space="preserve"> to rectify</w:t>
      </w:r>
      <w:r w:rsidR="00897ED8" w:rsidRPr="00897ED8">
        <w:t xml:space="preserve"> UE vulnerabilities</w:t>
      </w:r>
      <w:r w:rsidR="00A12E03">
        <w:t xml:space="preserve">. </w:t>
      </w:r>
    </w:p>
    <w:sectPr w:rsidR="00DC21C4" w:rsidRPr="001B6F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17D" w:rsidRDefault="0012717D">
      <w:r>
        <w:separator/>
      </w:r>
    </w:p>
  </w:endnote>
  <w:endnote w:type="continuationSeparator" w:id="0">
    <w:p w:rsidR="0012717D" w:rsidRDefault="0012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17D" w:rsidRDefault="0012717D">
      <w:r>
        <w:separator/>
      </w:r>
    </w:p>
  </w:footnote>
  <w:footnote w:type="continuationSeparator" w:id="0">
    <w:p w:rsidR="0012717D" w:rsidRDefault="00127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3133D"/>
    <w:multiLevelType w:val="hybridMultilevel"/>
    <w:tmpl w:val="1C94AE50"/>
    <w:lvl w:ilvl="0" w:tplc="B7F6F6C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FE19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733EE2"/>
    <w:multiLevelType w:val="hybridMultilevel"/>
    <w:tmpl w:val="7AAEF556"/>
    <w:lvl w:ilvl="0" w:tplc="7AFCBA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3"/>
  </w:num>
  <w:num w:numId="9">
    <w:abstractNumId w:val="21"/>
  </w:num>
  <w:num w:numId="10">
    <w:abstractNumId w:val="22"/>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0E28C5"/>
    <w:rsid w:val="00102D15"/>
    <w:rsid w:val="0010401F"/>
    <w:rsid w:val="00112FC3"/>
    <w:rsid w:val="0012717D"/>
    <w:rsid w:val="00173FA3"/>
    <w:rsid w:val="001842C7"/>
    <w:rsid w:val="00184B6F"/>
    <w:rsid w:val="001861E5"/>
    <w:rsid w:val="001B1652"/>
    <w:rsid w:val="001B6FC9"/>
    <w:rsid w:val="001C3EC8"/>
    <w:rsid w:val="001D2BD4"/>
    <w:rsid w:val="001D6911"/>
    <w:rsid w:val="001F71C5"/>
    <w:rsid w:val="00201947"/>
    <w:rsid w:val="0020395B"/>
    <w:rsid w:val="002046CB"/>
    <w:rsid w:val="00204DC9"/>
    <w:rsid w:val="002062C0"/>
    <w:rsid w:val="00215130"/>
    <w:rsid w:val="00230002"/>
    <w:rsid w:val="00244C9A"/>
    <w:rsid w:val="00247216"/>
    <w:rsid w:val="002800A8"/>
    <w:rsid w:val="0029311A"/>
    <w:rsid w:val="002A1857"/>
    <w:rsid w:val="002C4A9B"/>
    <w:rsid w:val="002C7F38"/>
    <w:rsid w:val="0030628A"/>
    <w:rsid w:val="0032690E"/>
    <w:rsid w:val="00343D42"/>
    <w:rsid w:val="0035122B"/>
    <w:rsid w:val="00353451"/>
    <w:rsid w:val="00371032"/>
    <w:rsid w:val="00371B44"/>
    <w:rsid w:val="003875BB"/>
    <w:rsid w:val="003B4475"/>
    <w:rsid w:val="003C122B"/>
    <w:rsid w:val="003C1566"/>
    <w:rsid w:val="003C5A97"/>
    <w:rsid w:val="003C7A04"/>
    <w:rsid w:val="003D40C7"/>
    <w:rsid w:val="003F52B2"/>
    <w:rsid w:val="003F6E74"/>
    <w:rsid w:val="00413068"/>
    <w:rsid w:val="004153C6"/>
    <w:rsid w:val="00420730"/>
    <w:rsid w:val="00440414"/>
    <w:rsid w:val="0044053B"/>
    <w:rsid w:val="0045348A"/>
    <w:rsid w:val="004558E9"/>
    <w:rsid w:val="0045777E"/>
    <w:rsid w:val="0049489A"/>
    <w:rsid w:val="004959AC"/>
    <w:rsid w:val="004B3753"/>
    <w:rsid w:val="004C31D2"/>
    <w:rsid w:val="004C396F"/>
    <w:rsid w:val="004D55C2"/>
    <w:rsid w:val="004D7A7D"/>
    <w:rsid w:val="004F3275"/>
    <w:rsid w:val="00521131"/>
    <w:rsid w:val="00527C0B"/>
    <w:rsid w:val="005410F6"/>
    <w:rsid w:val="005729C4"/>
    <w:rsid w:val="00575466"/>
    <w:rsid w:val="00586A21"/>
    <w:rsid w:val="0059227B"/>
    <w:rsid w:val="00593EA5"/>
    <w:rsid w:val="005A2112"/>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27DA9"/>
    <w:rsid w:val="00753092"/>
    <w:rsid w:val="0075586E"/>
    <w:rsid w:val="00760BB0"/>
    <w:rsid w:val="0076157A"/>
    <w:rsid w:val="00772559"/>
    <w:rsid w:val="00784593"/>
    <w:rsid w:val="007A00EF"/>
    <w:rsid w:val="007B19EA"/>
    <w:rsid w:val="007C0A2D"/>
    <w:rsid w:val="007C27B0"/>
    <w:rsid w:val="007E537E"/>
    <w:rsid w:val="007E56DC"/>
    <w:rsid w:val="007F300B"/>
    <w:rsid w:val="008014C3"/>
    <w:rsid w:val="00804D2D"/>
    <w:rsid w:val="00824584"/>
    <w:rsid w:val="00850812"/>
    <w:rsid w:val="00870382"/>
    <w:rsid w:val="00872560"/>
    <w:rsid w:val="00876B9A"/>
    <w:rsid w:val="008841F2"/>
    <w:rsid w:val="008933BF"/>
    <w:rsid w:val="00897ED8"/>
    <w:rsid w:val="008A10C4"/>
    <w:rsid w:val="008B0248"/>
    <w:rsid w:val="008C00A9"/>
    <w:rsid w:val="008F5F33"/>
    <w:rsid w:val="008F70D0"/>
    <w:rsid w:val="0091046A"/>
    <w:rsid w:val="00926ABD"/>
    <w:rsid w:val="009271BA"/>
    <w:rsid w:val="00945FDA"/>
    <w:rsid w:val="00947F4E"/>
    <w:rsid w:val="00966D47"/>
    <w:rsid w:val="00992312"/>
    <w:rsid w:val="009C0DED"/>
    <w:rsid w:val="009C60B2"/>
    <w:rsid w:val="00A12E03"/>
    <w:rsid w:val="00A37D7F"/>
    <w:rsid w:val="00A46410"/>
    <w:rsid w:val="00A57688"/>
    <w:rsid w:val="00A72F1E"/>
    <w:rsid w:val="00A769E7"/>
    <w:rsid w:val="00A84A94"/>
    <w:rsid w:val="00A86BF7"/>
    <w:rsid w:val="00A96B4A"/>
    <w:rsid w:val="00AA5CED"/>
    <w:rsid w:val="00AD1DAA"/>
    <w:rsid w:val="00AF1E23"/>
    <w:rsid w:val="00AF7F81"/>
    <w:rsid w:val="00B01135"/>
    <w:rsid w:val="00B01AFF"/>
    <w:rsid w:val="00B01C41"/>
    <w:rsid w:val="00B05CC7"/>
    <w:rsid w:val="00B27E39"/>
    <w:rsid w:val="00B350D8"/>
    <w:rsid w:val="00B4702A"/>
    <w:rsid w:val="00B76763"/>
    <w:rsid w:val="00B7732B"/>
    <w:rsid w:val="00B879F0"/>
    <w:rsid w:val="00BA4546"/>
    <w:rsid w:val="00BB7A9D"/>
    <w:rsid w:val="00BC25AA"/>
    <w:rsid w:val="00BC41B0"/>
    <w:rsid w:val="00BC43FF"/>
    <w:rsid w:val="00C022E3"/>
    <w:rsid w:val="00C4712D"/>
    <w:rsid w:val="00C555C9"/>
    <w:rsid w:val="00C5698C"/>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6FA"/>
    <w:rsid w:val="00DA1E58"/>
    <w:rsid w:val="00DC21C4"/>
    <w:rsid w:val="00DC6365"/>
    <w:rsid w:val="00DE4EF2"/>
    <w:rsid w:val="00DF2C0E"/>
    <w:rsid w:val="00E04DB6"/>
    <w:rsid w:val="00E06FFB"/>
    <w:rsid w:val="00E1773F"/>
    <w:rsid w:val="00E30155"/>
    <w:rsid w:val="00E47F9F"/>
    <w:rsid w:val="00E91FE1"/>
    <w:rsid w:val="00EA5E95"/>
    <w:rsid w:val="00EC7814"/>
    <w:rsid w:val="00ED4954"/>
    <w:rsid w:val="00EE0567"/>
    <w:rsid w:val="00EE0943"/>
    <w:rsid w:val="00EE33A2"/>
    <w:rsid w:val="00F00E37"/>
    <w:rsid w:val="00F6591A"/>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9E58942"/>
  <w15:chartTrackingRefBased/>
  <w15:docId w15:val="{C559422F-7E37-4291-B2D7-00E5A47F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sid w:val="0075586E"/>
    <w:rPr>
      <w:rFonts w:ascii="Tahoma" w:hAnsi="Tahoma" w:cs="Tahoma"/>
      <w:sz w:val="16"/>
      <w:szCs w:val="16"/>
      <w:lang w:eastAsia="en-US"/>
    </w:rPr>
  </w:style>
  <w:style w:type="table" w:styleId="Tabellenraster">
    <w:name w:val="Table Grid"/>
    <w:basedOn w:val="NormaleTabelle"/>
    <w:rsid w:val="003C1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C21C4"/>
    <w:rPr>
      <w:rFonts w:ascii="Times New Roman" w:hAnsi="Times New Roman"/>
      <w:lang w:val="en-GB" w:eastAsia="en-US"/>
    </w:rPr>
  </w:style>
  <w:style w:type="character" w:customStyle="1" w:styleId="UnresolvedMention">
    <w:name w:val="Unresolved Mention"/>
    <w:uiPriority w:val="99"/>
    <w:semiHidden/>
    <w:unhideWhenUsed/>
    <w:rsid w:val="00824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35832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69589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10484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506830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76839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ocs.qualcomm.com/product/publicresources/securitybulletin/may-2023-bulleti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758</Words>
  <Characters>4779</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5526</CharactersWithSpaces>
  <SharedDoc>false</SharedDoc>
  <HLinks>
    <vt:vector size="6" baseType="variant">
      <vt:variant>
        <vt:i4>5439569</vt:i4>
      </vt:variant>
      <vt:variant>
        <vt:i4>0</vt:i4>
      </vt:variant>
      <vt:variant>
        <vt:i4>0</vt:i4>
      </vt:variant>
      <vt:variant>
        <vt:i4>5</vt:i4>
      </vt:variant>
      <vt:variant>
        <vt:lpwstr>https://docs.qualcomm.com/product/publicresources/securitybulletin/may-2023-bulletin.html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Andreas, Jörg</cp:lastModifiedBy>
  <cp:revision>2</cp:revision>
  <cp:lastPrinted>1601-01-01T00:00:00Z</cp:lastPrinted>
  <dcterms:created xsi:type="dcterms:W3CDTF">2024-08-02T11:51:00Z</dcterms:created>
  <dcterms:modified xsi:type="dcterms:W3CDTF">2024-08-02T11:51:00Z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